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Preparar una reunión</w:t>
      </w:r>
    </w:p>
    <w:p>
      <w:pPr>
        <w:pStyle w:val="Subtitle"/>
      </w:pPr>
      <w:r>
        <w:t>Plantilla editable</w:t>
      </w:r>
    </w:p>
    <w:p>
      <w:r>
        <w:t>Una reunión empieza antes de sentarnos: hay que precisar qué podemos decidir y qué información hace falta compartir.</w:t>
      </w:r>
    </w:p>
    <w:p>
      <w:pPr>
        <w:keepNext/>
      </w:pPr>
      <w:r>
        <w:rPr>
          <w:b/>
        </w:rPr>
        <w:t>Asunto y pregunta que nos reúne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Tipo de espacio y alcance de la decisión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Fecha lugar duración y accesibilidad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Quién convoca y cómo se difundirá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Información que se entregará antes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Orden del día y tiempos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Facilitación relatoría y cuidado de turnos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Cómo escucharemos a quienes no puedan asistir</w:t>
      </w:r>
    </w:p>
    <w:p>
      <w:pPr>
        <w:spacing w:after="120"/>
      </w:pPr>
      <w:r>
        <w:t>________________________________________________________________________</w:t>
      </w:r>
    </w:p>
    <w:p>
      <w:pPr>
        <w:spacing w:before="100"/>
      </w:pPr>
      <w:r>
        <w:rPr>
          <w:sz w:val="18"/>
        </w:rPr>
        <w:t>Para una asamblea ejidal o comunal con efectos jurídicos se verifican convocatoria, competencia, participación, quórum y formalidades aplicables. Esta guía organiza la preparación; no acredita esos requisitos.</w:t>
      </w:r>
    </w:p>
    <w:p>
      <w:r>
        <w:br w:type="page"/>
      </w:r>
    </w:p>
    <w:p>
      <w:pPr>
        <w:pStyle w:val="Title"/>
      </w:pPr>
      <w:r>
        <w:t>Preparar una reunión</w:t>
      </w:r>
    </w:p>
    <w:p>
      <w:pPr>
        <w:pStyle w:val="Subtitle"/>
      </w:pPr>
      <w:r>
        <w:t>Ejemplo hipotético</w:t>
      </w:r>
    </w:p>
    <w:p>
      <w:r>
        <w:t>Una reunión empieza antes de sentarnos: hay que precisar qué podemos decidir y qué información hace falta compartir.</w:t>
      </w:r>
    </w:p>
    <w:p>
      <w:pPr>
        <w:keepNext/>
      </w:pPr>
      <w:r>
        <w:rPr>
          <w:b/>
        </w:rPr>
        <w:t>Asunto y pregunta que nos reúne</w:t>
      </w:r>
    </w:p>
    <w:p>
      <w:pPr>
        <w:spacing w:after="120"/>
      </w:pPr>
      <w:r>
        <w:t>Revisar el uso de un espacio compartido.</w:t>
      </w:r>
    </w:p>
    <w:p>
      <w:pPr>
        <w:keepNext/>
      </w:pPr>
      <w:r>
        <w:rPr>
          <w:b/>
        </w:rPr>
        <w:t>Tipo de espacio y alcance de la decisión</w:t>
      </w:r>
    </w:p>
    <w:p>
      <w:pPr>
        <w:spacing w:after="120"/>
      </w:pPr>
      <w:r>
        <w:t>Reunión vecinal preparatoria. No autoriza obra ni gasto.</w:t>
      </w:r>
    </w:p>
    <w:p>
      <w:pPr>
        <w:keepNext/>
      </w:pPr>
      <w:r>
        <w:rPr>
          <w:b/>
        </w:rPr>
        <w:t>Fecha lugar duración y accesibilidad</w:t>
      </w:r>
    </w:p>
    <w:p>
      <w:pPr>
        <w:spacing w:after="120"/>
      </w:pPr>
      <w:r>
        <w:t>Fecha y lugar por acordar. Revisar acceso y horarios de cuidados.</w:t>
      </w:r>
    </w:p>
    <w:p>
      <w:pPr>
        <w:keepNext/>
      </w:pPr>
      <w:r>
        <w:rPr>
          <w:b/>
        </w:rPr>
        <w:t>Quién convoca y cómo se difundirá</w:t>
      </w:r>
    </w:p>
    <w:p>
      <w:pPr>
        <w:spacing w:after="120"/>
      </w:pPr>
      <w:r>
        <w:t>Equipo temporal. Avisos en distintos sectores y contacto directo.</w:t>
      </w:r>
    </w:p>
    <w:p>
      <w:pPr>
        <w:keepNext/>
      </w:pPr>
      <w:r>
        <w:rPr>
          <w:b/>
        </w:rPr>
        <w:t>Información que se entregará antes</w:t>
      </w:r>
    </w:p>
    <w:p>
      <w:pPr>
        <w:spacing w:after="120"/>
      </w:pPr>
      <w:r>
        <w:t>Fotografías del espacio y propuestas recibidas sin datos personales.</w:t>
      </w:r>
    </w:p>
    <w:p>
      <w:pPr>
        <w:keepNext/>
      </w:pPr>
      <w:r>
        <w:rPr>
          <w:b/>
        </w:rPr>
        <w:t>Orden del día y tiempos</w:t>
      </w:r>
    </w:p>
    <w:p>
      <w:pPr>
        <w:spacing w:after="120"/>
      </w:pPr>
      <w:r>
        <w:t>Aclarar el problema; escuchar usos distintos; acordar qué investigar.</w:t>
      </w:r>
    </w:p>
    <w:p>
      <w:pPr>
        <w:keepNext/>
      </w:pPr>
      <w:r>
        <w:rPr>
          <w:b/>
        </w:rPr>
        <w:t>Facilitación relatoría y cuidado de turnos</w:t>
      </w:r>
    </w:p>
    <w:p>
      <w:pPr>
        <w:spacing w:after="120"/>
      </w:pPr>
      <w:r>
        <w:t>Rotar la facilitación y leer en voz alta los acuerdos.</w:t>
      </w:r>
    </w:p>
    <w:p>
      <w:pPr>
        <w:keepNext/>
      </w:pPr>
      <w:r>
        <w:rPr>
          <w:b/>
        </w:rPr>
        <w:t>Cómo escucharemos a quienes no puedan asistir</w:t>
      </w:r>
    </w:p>
    <w:p>
      <w:pPr>
        <w:spacing w:after="120"/>
      </w:pPr>
      <w:r>
        <w:t>Recibir observaciones durante una semana por un canal acordado.</w:t>
      </w:r>
    </w:p>
    <w:p>
      <w:pPr>
        <w:spacing w:before="100"/>
      </w:pPr>
      <w:r>
        <w:rPr>
          <w:sz w:val="18"/>
        </w:rPr>
        <w:t>Para una asamblea ejidal o comunal con efectos jurídicos se verifican convocatoria, competencia, participación, quórum y formalidades aplicables. Esta guía organiza la preparación; no acredita esos requisitos.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· Elaboración: Emiliano Corona Quijano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Preparar una reunión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